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58" w:rsidRPr="007B6BC2" w:rsidRDefault="004F7F58" w:rsidP="007B6BC2">
      <w:pPr>
        <w:pStyle w:val="Heading2"/>
        <w:bidi/>
        <w:spacing w:before="0" w:line="240" w:lineRule="auto"/>
        <w:jc w:val="center"/>
        <w:rPr>
          <w:rFonts w:ascii="IranNastaliq" w:hAnsi="IranNastaliq" w:cs="IranNastaliq"/>
          <w:b w:val="0"/>
          <w:bCs w:val="0"/>
          <w:color w:val="auto"/>
          <w:sz w:val="30"/>
          <w:szCs w:val="30"/>
        </w:rPr>
      </w:pPr>
      <w:r w:rsidRPr="007B6BC2">
        <w:rPr>
          <w:rFonts w:ascii="IranNastaliq" w:hAnsi="IranNastaliq" w:cs="IranNastaliq"/>
          <w:b w:val="0"/>
          <w:bCs w:val="0"/>
          <w:color w:val="auto"/>
          <w:sz w:val="30"/>
          <w:szCs w:val="30"/>
          <w:rtl/>
        </w:rPr>
        <w:t>راهنمای ده‌گانه‌ی تعارض منافع</w:t>
      </w:r>
    </w:p>
    <w:p w:rsidR="004F7F58" w:rsidRPr="007B6BC2" w:rsidRDefault="004F7F58" w:rsidP="007B6BC2">
      <w:pPr>
        <w:pStyle w:val="Heading2"/>
        <w:bidi/>
        <w:spacing w:before="0" w:line="240" w:lineRule="auto"/>
        <w:jc w:val="center"/>
        <w:rPr>
          <w:rFonts w:ascii="IranNastaliq" w:hAnsi="IranNastaliq" w:cs="IranNastaliq"/>
          <w:b w:val="0"/>
          <w:bCs w:val="0"/>
          <w:color w:val="auto"/>
          <w:sz w:val="30"/>
          <w:szCs w:val="30"/>
          <w:rtl/>
        </w:rPr>
      </w:pPr>
      <w:r w:rsidRPr="007B6BC2">
        <w:rPr>
          <w:rFonts w:ascii="IranNastaliq" w:hAnsi="IranNastaliq" w:cs="IranNastaliq" w:hint="cs"/>
          <w:b w:val="0"/>
          <w:bCs w:val="0"/>
          <w:color w:val="auto"/>
          <w:sz w:val="30"/>
          <w:szCs w:val="30"/>
          <w:rtl/>
          <w:lang w:bidi="fa-IR"/>
        </w:rPr>
        <w:t>چ</w:t>
      </w:r>
      <w:r w:rsidRPr="007B6BC2">
        <w:rPr>
          <w:rFonts w:ascii="IranNastaliq" w:hAnsi="IranNastaliq" w:cs="IranNastaliq"/>
          <w:b w:val="0"/>
          <w:bCs w:val="0"/>
          <w:color w:val="auto"/>
          <w:sz w:val="30"/>
          <w:szCs w:val="30"/>
          <w:rtl/>
        </w:rPr>
        <w:t>کیده‌ای از راهنمای جامع پزشکان برای مدیریت تعارض منافع در ارائه</w:t>
      </w:r>
      <w:r w:rsidRPr="007B6BC2">
        <w:rPr>
          <w:rFonts w:ascii="IranNastaliq" w:hAnsi="IranNastaliq" w:cs="IranNastaliq"/>
          <w:b w:val="0"/>
          <w:bCs w:val="0"/>
          <w:color w:val="auto"/>
          <w:sz w:val="30"/>
          <w:szCs w:val="30"/>
          <w:rtl/>
        </w:rPr>
        <w:softHyphen/>
        <w:t>ی خدمات سلامت، آموزش و پژوهش</w:t>
      </w:r>
    </w:p>
    <w:p w:rsidR="004F7F58" w:rsidRDefault="004F7F58" w:rsidP="004F7F58">
      <w:pPr>
        <w:pStyle w:val="Heading2"/>
        <w:bidi/>
        <w:spacing w:before="0"/>
        <w:jc w:val="lowKashida"/>
        <w:rPr>
          <w:rFonts w:cs="B Yagut"/>
          <w:color w:val="auto"/>
          <w:sz w:val="20"/>
          <w:szCs w:val="20"/>
          <w:rtl/>
          <w:lang w:bidi="fa-IR"/>
        </w:rPr>
      </w:pPr>
    </w:p>
    <w:p w:rsidR="004F7F58" w:rsidRPr="004F7F58" w:rsidRDefault="004F7F58" w:rsidP="007B6BC2">
      <w:pPr>
        <w:pStyle w:val="Heading2"/>
        <w:bidi/>
        <w:spacing w:before="0" w:line="360" w:lineRule="auto"/>
        <w:jc w:val="lowKashida"/>
        <w:rPr>
          <w:rFonts w:cs="B Yagut"/>
          <w:b w:val="0"/>
          <w:bCs w:val="0"/>
          <w:color w:val="auto"/>
          <w:sz w:val="24"/>
          <w:szCs w:val="24"/>
          <w:lang w:bidi="fa-IR"/>
        </w:rPr>
      </w:pPr>
      <w:r w:rsidRPr="004F7F58">
        <w:rPr>
          <w:rFonts w:cs="B Yagut" w:hint="cs"/>
          <w:color w:val="auto"/>
          <w:sz w:val="24"/>
          <w:szCs w:val="24"/>
          <w:rtl/>
          <w:lang w:bidi="fa-IR"/>
        </w:rPr>
        <w:t>تعارض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 </w:t>
      </w:r>
      <w:r w:rsidRPr="004F7F58">
        <w:rPr>
          <w:rFonts w:cs="B Yagut" w:hint="cs"/>
          <w:color w:val="auto"/>
          <w:sz w:val="24"/>
          <w:szCs w:val="24"/>
          <w:rtl/>
          <w:lang w:bidi="fa-IR"/>
        </w:rPr>
        <w:t xml:space="preserve">میان منافع افراد در تعاملات اجتماعی امری ناگزیر است. </w:t>
      </w:r>
      <w:r w:rsidR="00C0295A">
        <w:rPr>
          <w:rFonts w:cs="B Yagut" w:hint="eastAsia"/>
          <w:color w:val="auto"/>
          <w:sz w:val="24"/>
          <w:szCs w:val="24"/>
          <w:rtl/>
          <w:lang w:bidi="fa-IR"/>
        </w:rPr>
        <w:t>ازا</w:t>
      </w:r>
      <w:r w:rsidR="00C0295A">
        <w:rPr>
          <w:rFonts w:cs="B Yagut" w:hint="cs"/>
          <w:color w:val="auto"/>
          <w:sz w:val="24"/>
          <w:szCs w:val="24"/>
          <w:rtl/>
          <w:lang w:bidi="fa-IR"/>
        </w:rPr>
        <w:t>ی</w:t>
      </w:r>
      <w:r w:rsidR="00C0295A">
        <w:rPr>
          <w:rFonts w:cs="B Yagut" w:hint="eastAsia"/>
          <w:color w:val="auto"/>
          <w:sz w:val="24"/>
          <w:szCs w:val="24"/>
          <w:rtl/>
          <w:lang w:bidi="fa-IR"/>
        </w:rPr>
        <w:t>ن‌رو</w:t>
      </w:r>
      <w:r w:rsidRPr="004F7F58">
        <w:rPr>
          <w:rFonts w:cs="B Yagut" w:hint="cs"/>
          <w:color w:val="auto"/>
          <w:sz w:val="24"/>
          <w:szCs w:val="24"/>
          <w:rtl/>
          <w:lang w:bidi="fa-IR"/>
        </w:rPr>
        <w:t xml:space="preserve"> سیاستگزاران بیش از آنکه در پی نفی و رفع تعارض منافع باشند تلاش </w:t>
      </w:r>
      <w:r w:rsidRPr="004F7F58">
        <w:rPr>
          <w:rFonts w:cs="B Yagut" w:hint="eastAsia"/>
          <w:color w:val="auto"/>
          <w:sz w:val="24"/>
          <w:szCs w:val="24"/>
          <w:rtl/>
          <w:lang w:bidi="fa-IR"/>
        </w:rPr>
        <w:t>م</w:t>
      </w:r>
      <w:r w:rsidRPr="004F7F58">
        <w:rPr>
          <w:rFonts w:cs="B Yagut" w:hint="cs"/>
          <w:color w:val="auto"/>
          <w:sz w:val="24"/>
          <w:szCs w:val="24"/>
          <w:rtl/>
          <w:lang w:bidi="fa-IR"/>
        </w:rPr>
        <w:t>ی‌</w:t>
      </w:r>
      <w:r w:rsidRPr="004F7F58">
        <w:rPr>
          <w:rFonts w:cs="B Yagut" w:hint="eastAsia"/>
          <w:color w:val="auto"/>
          <w:sz w:val="24"/>
          <w:szCs w:val="24"/>
          <w:rtl/>
          <w:lang w:bidi="fa-IR"/>
        </w:rPr>
        <w:t>کنند</w:t>
      </w:r>
      <w:r w:rsidRPr="004F7F58">
        <w:rPr>
          <w:rFonts w:cs="B Yagut" w:hint="cs"/>
          <w:color w:val="auto"/>
          <w:sz w:val="24"/>
          <w:szCs w:val="24"/>
          <w:rtl/>
          <w:lang w:bidi="fa-IR"/>
        </w:rPr>
        <w:t xml:space="preserve"> تا آن را چنان " مدیریت " کنند که</w:t>
      </w:r>
      <w:r>
        <w:rPr>
          <w:rFonts w:cs="B Yagut"/>
          <w:color w:val="auto"/>
          <w:sz w:val="24"/>
          <w:szCs w:val="24"/>
          <w:rtl/>
          <w:lang w:bidi="fa-IR"/>
        </w:rPr>
        <w:t xml:space="preserve"> </w:t>
      </w:r>
      <w:r w:rsidRPr="004F7F58">
        <w:rPr>
          <w:rFonts w:cs="B Yagut" w:hint="cs"/>
          <w:color w:val="auto"/>
          <w:sz w:val="24"/>
          <w:szCs w:val="24"/>
          <w:rtl/>
          <w:lang w:bidi="fa-IR"/>
        </w:rPr>
        <w:t xml:space="preserve">مانعی برای خدمت و </w:t>
      </w:r>
      <w:r w:rsidRPr="004F7F58">
        <w:rPr>
          <w:rFonts w:cs="B Yagut" w:hint="eastAsia"/>
          <w:color w:val="auto"/>
          <w:sz w:val="24"/>
          <w:szCs w:val="24"/>
          <w:rtl/>
          <w:lang w:bidi="fa-IR"/>
        </w:rPr>
        <w:t>مخدوش‌کننده</w:t>
      </w:r>
      <w:r w:rsidRPr="004F7F58">
        <w:rPr>
          <w:rFonts w:cs="B Yagut" w:hint="cs"/>
          <w:color w:val="auto"/>
          <w:sz w:val="24"/>
          <w:szCs w:val="24"/>
          <w:rtl/>
          <w:lang w:bidi="fa-IR"/>
        </w:rPr>
        <w:t xml:space="preserve"> اعتماد در جامعه نباشد. این راهنما اصول کلی برخورد با موارد تعارض منافع</w:t>
      </w:r>
      <w:r>
        <w:rPr>
          <w:rFonts w:cs="B Yagut"/>
          <w:color w:val="auto"/>
          <w:sz w:val="24"/>
          <w:szCs w:val="24"/>
          <w:rtl/>
          <w:lang w:bidi="fa-IR"/>
        </w:rPr>
        <w:t xml:space="preserve"> </w:t>
      </w:r>
      <w:r w:rsidRPr="004F7F58">
        <w:rPr>
          <w:rFonts w:cs="B Yagut" w:hint="cs"/>
          <w:color w:val="auto"/>
          <w:sz w:val="24"/>
          <w:szCs w:val="24"/>
          <w:rtl/>
          <w:lang w:bidi="fa-IR"/>
        </w:rPr>
        <w:t xml:space="preserve">را بیان </w:t>
      </w:r>
      <w:r w:rsidR="00C0295A">
        <w:rPr>
          <w:rFonts w:cs="B Yagut" w:hint="eastAsia"/>
          <w:color w:val="auto"/>
          <w:sz w:val="24"/>
          <w:szCs w:val="24"/>
          <w:rtl/>
          <w:lang w:bidi="fa-IR"/>
        </w:rPr>
        <w:t>م</w:t>
      </w:r>
      <w:r w:rsidR="00C0295A">
        <w:rPr>
          <w:rFonts w:cs="B Yagut" w:hint="cs"/>
          <w:color w:val="auto"/>
          <w:sz w:val="24"/>
          <w:szCs w:val="24"/>
          <w:rtl/>
          <w:lang w:bidi="fa-IR"/>
        </w:rPr>
        <w:t>ی‌</w:t>
      </w:r>
      <w:r w:rsidR="00C0295A">
        <w:rPr>
          <w:rFonts w:cs="B Yagut" w:hint="eastAsia"/>
          <w:color w:val="auto"/>
          <w:sz w:val="24"/>
          <w:szCs w:val="24"/>
          <w:rtl/>
          <w:lang w:bidi="fa-IR"/>
        </w:rPr>
        <w:t>کند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. تخلف از این راهنما </w:t>
      </w:r>
      <w:r w:rsidR="00C0295A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به‌عنوان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 رفتار خلاف شئون </w:t>
      </w:r>
      <w:r w:rsidR="00C0295A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حرفه‌ا</w:t>
      </w:r>
      <w:r w:rsidR="00C0295A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>ی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، شغلی </w:t>
      </w:r>
      <w:r w:rsidR="00C0295A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وادار</w:t>
      </w:r>
      <w:r w:rsidR="00C0295A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>ی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 موضوع</w:t>
      </w:r>
      <w:r>
        <w:rPr>
          <w:rFonts w:cs="B Yagut"/>
          <w:b w:val="0"/>
          <w:bCs w:val="0"/>
          <w:color w:val="auto"/>
          <w:sz w:val="24"/>
          <w:szCs w:val="24"/>
          <w:rtl/>
          <w:lang w:bidi="fa-IR"/>
        </w:rPr>
        <w:t xml:space="preserve"> 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ماده 6 </w:t>
      </w:r>
      <w:r w:rsidR="00C0295A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آ</w:t>
      </w:r>
      <w:r w:rsidR="00C0295A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>یی</w:t>
      </w:r>
      <w:r w:rsidR="00C0295A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ن‌نامه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 انتظامی رسیدگی به تخلفات صنفی و </w:t>
      </w:r>
      <w:r w:rsidR="00C0295A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حرفه‌ا</w:t>
      </w:r>
      <w:r w:rsidR="00C0295A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>ی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 شاغلان </w:t>
      </w:r>
      <w:r w:rsidR="00C0295A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حرفه‌ها</w:t>
      </w:r>
      <w:r w:rsidR="00C0295A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>ی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 پزشکی و وابسته، بند 11 ماده 7 قانون مقررات انتظامی </w:t>
      </w:r>
      <w:r w:rsidR="00C0295A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ه</w:t>
      </w:r>
      <w:r w:rsidR="00C0295A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>ی</w:t>
      </w:r>
      <w:r w:rsidR="00C0295A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ئت‌علم</w:t>
      </w:r>
      <w:r w:rsidR="00C0295A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>ی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 </w:t>
      </w:r>
      <w:r w:rsidR="00C0295A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دانشگاه‌ها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 و </w:t>
      </w:r>
      <w:r w:rsidR="00C0295A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مؤسسات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 </w:t>
      </w:r>
      <w:r w:rsidR="00C0295A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آموزش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 عالی و تحقیقاتی کشور و </w:t>
      </w:r>
      <w:bookmarkStart w:id="0" w:name="_GoBack"/>
      <w:bookmarkEnd w:id="0"/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>بند 1 ماده 8 قانون رسیدگی به تخلفات اداری</w:t>
      </w:r>
      <w:r>
        <w:rPr>
          <w:rFonts w:cs="B Yagut"/>
          <w:b w:val="0"/>
          <w:bCs w:val="0"/>
          <w:color w:val="auto"/>
          <w:sz w:val="24"/>
          <w:szCs w:val="24"/>
          <w:rtl/>
          <w:lang w:bidi="fa-IR"/>
        </w:rPr>
        <w:t xml:space="preserve"> </w:t>
      </w:r>
      <w:r w:rsidR="00C0295A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است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>.</w:t>
      </w:r>
    </w:p>
    <w:p w:rsidR="004F7F58" w:rsidRPr="004F7F58" w:rsidRDefault="004F7F58" w:rsidP="007B6BC2">
      <w:pPr>
        <w:pStyle w:val="Heading2"/>
        <w:bidi/>
        <w:spacing w:before="0" w:line="360" w:lineRule="auto"/>
        <w:jc w:val="lowKashida"/>
        <w:rPr>
          <w:rFonts w:cs="B Yagut"/>
          <w:b w:val="0"/>
          <w:bCs w:val="0"/>
          <w:color w:val="auto"/>
          <w:sz w:val="24"/>
          <w:szCs w:val="24"/>
          <w:rtl/>
          <w:lang w:bidi="fa-IR"/>
        </w:rPr>
      </w:pPr>
      <w:r w:rsidRPr="004F7F58">
        <w:rPr>
          <w:rFonts w:cs="B Titr" w:hint="cs"/>
          <w:color w:val="auto"/>
          <w:sz w:val="24"/>
          <w:szCs w:val="24"/>
          <w:rtl/>
          <w:lang w:bidi="fa-IR"/>
        </w:rPr>
        <w:t>یکم.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 اعتبار حرَف پزشکی به اعتماد مردم وابسته است.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ر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>ی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شه‌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ی این اعتماد در حرفه مندی اهالی حوزه سلامت است </w:t>
      </w:r>
      <w:r w:rsidR="00C0295A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چراکه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 پزشکان باید همیشه منافع مردم را بر منافع فردی مقدم بدارند.</w:t>
      </w:r>
      <w:r>
        <w:rPr>
          <w:rFonts w:cs="B Yagut"/>
          <w:b w:val="0"/>
          <w:bCs w:val="0"/>
          <w:color w:val="auto"/>
          <w:sz w:val="24"/>
          <w:szCs w:val="24"/>
          <w:rtl/>
          <w:lang w:bidi="fa-IR"/>
        </w:rPr>
        <w:t xml:space="preserve">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واقع‌شدن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 در چنین موقعیتی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به‌خود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>ی‌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خود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 محل اشکال نیست بلکه نحوه برخورد با آن مهم است. آشکارسازی تعارض برای مردم و همکاران بهترین شیوه برای حفظ شأن و حرمت حرفه پزشکی است. در بعضی موارد هم حضور یک ناظر سوم و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ب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>ی‌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طرف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 برای رفع موقعیت تعارض ضروری است.</w:t>
      </w:r>
    </w:p>
    <w:p w:rsidR="004F7F58" w:rsidRPr="004F7F58" w:rsidRDefault="004F7F58" w:rsidP="007B6BC2">
      <w:pPr>
        <w:pStyle w:val="Heading2"/>
        <w:bidi/>
        <w:spacing w:before="0" w:line="360" w:lineRule="auto"/>
        <w:jc w:val="lowKashida"/>
        <w:rPr>
          <w:rFonts w:cs="B Yagut"/>
          <w:b w:val="0"/>
          <w:bCs w:val="0"/>
          <w:color w:val="auto"/>
          <w:sz w:val="24"/>
          <w:szCs w:val="24"/>
          <w:lang w:bidi="fa-IR"/>
        </w:rPr>
      </w:pPr>
      <w:r w:rsidRPr="004F7F58">
        <w:rPr>
          <w:rFonts w:cs="B Titr" w:hint="cs"/>
          <w:color w:val="auto"/>
          <w:sz w:val="24"/>
          <w:szCs w:val="24"/>
          <w:rtl/>
          <w:lang w:bidi="fa-IR"/>
        </w:rPr>
        <w:t>دوم.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 ارجاع بیمار برای امور تشخیصی درمانی نباید در قبال پاداش یا امتیاز </w:t>
      </w:r>
      <w:r>
        <w:rPr>
          <w:rFonts w:cs="B Yagut"/>
          <w:b w:val="0"/>
          <w:bCs w:val="0"/>
          <w:color w:val="auto"/>
          <w:sz w:val="24"/>
          <w:szCs w:val="24"/>
          <w:rtl/>
          <w:lang w:bidi="fa-IR"/>
        </w:rPr>
        <w:t>(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اعم از وجه نقدی، هدیه، تخفیف در اجاره یا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هز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>ی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نه‌ها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ی مطب، ارجاع متقابل بیمار و ...) باشد. ارجاع اگر بر مبنایی غیر از ضرورت و اقتضای علمی صورت گیرد و پزشک در قبال آن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بهره‌ا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ی از همکاران یا مراکز تشخیصی درمانی ببرد، سهم خواری نامیده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م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>ی‌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شود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 که از منظر اخلاق و تعهد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حرفه‌ا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>ی ممنوع است.</w:t>
      </w:r>
    </w:p>
    <w:p w:rsidR="004F7F58" w:rsidRPr="004F7F58" w:rsidRDefault="004F7F58" w:rsidP="007B6BC2">
      <w:pPr>
        <w:pStyle w:val="Heading2"/>
        <w:bidi/>
        <w:spacing w:before="0" w:line="360" w:lineRule="auto"/>
        <w:jc w:val="lowKashida"/>
        <w:rPr>
          <w:rFonts w:cs="B Yagut"/>
          <w:b w:val="0"/>
          <w:bCs w:val="0"/>
          <w:color w:val="auto"/>
          <w:sz w:val="24"/>
          <w:szCs w:val="24"/>
          <w:rtl/>
          <w:lang w:bidi="fa-IR"/>
        </w:rPr>
      </w:pPr>
      <w:r w:rsidRPr="004F7F58">
        <w:rPr>
          <w:rFonts w:cs="B Titr" w:hint="cs"/>
          <w:color w:val="auto"/>
          <w:sz w:val="24"/>
          <w:szCs w:val="24"/>
          <w:rtl/>
          <w:lang w:bidi="fa-IR"/>
        </w:rPr>
        <w:t>سوم.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 تجویز نا </w:t>
      </w:r>
      <w:r w:rsidR="00C0295A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به‌جا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 و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غ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>ی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رعلم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ی اقدامات تشخیصی درمانی همچون تصویربرداری،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آندوسکوپ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ی، اکوکاردیوگرافی، </w:t>
      </w:r>
      <w:r w:rsidR="00C0295A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نوار</w:t>
      </w:r>
      <w:r w:rsidR="00C0295A">
        <w:rPr>
          <w:rFonts w:cs="B Yagut"/>
          <w:b w:val="0"/>
          <w:bCs w:val="0"/>
          <w:color w:val="auto"/>
          <w:sz w:val="24"/>
          <w:szCs w:val="24"/>
          <w:rtl/>
          <w:lang w:bidi="fa-IR"/>
        </w:rPr>
        <w:t xml:space="preserve"> </w:t>
      </w:r>
      <w:r w:rsidR="00C0295A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مغز</w:t>
      </w:r>
      <w:r w:rsidR="00C0295A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>ی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، نوار عصب و عضله و مواردی از این قبیل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به‌منظور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 انتفاع مالی از مریض با هیچ توجیهی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ازجمله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 رضایت بیمار یا افزایش خاطرجمعی او پذیرفته نیست و سهم خواری به شمار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م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>ی‌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رود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>.</w:t>
      </w:r>
    </w:p>
    <w:p w:rsidR="004F7F58" w:rsidRPr="004F7F58" w:rsidRDefault="004F7F58" w:rsidP="007B6BC2">
      <w:pPr>
        <w:pStyle w:val="Heading2"/>
        <w:bidi/>
        <w:spacing w:before="0" w:line="360" w:lineRule="auto"/>
        <w:jc w:val="lowKashida"/>
        <w:rPr>
          <w:rFonts w:cs="B Yagut"/>
          <w:b w:val="0"/>
          <w:bCs w:val="0"/>
          <w:color w:val="auto"/>
          <w:sz w:val="24"/>
          <w:szCs w:val="24"/>
          <w:rtl/>
          <w:lang w:bidi="fa-IR"/>
        </w:rPr>
      </w:pPr>
      <w:r w:rsidRPr="004F7F58">
        <w:rPr>
          <w:rFonts w:cs="B Titr" w:hint="cs"/>
          <w:color w:val="auto"/>
          <w:sz w:val="24"/>
          <w:szCs w:val="24"/>
          <w:rtl/>
          <w:lang w:bidi="fa-IR"/>
        </w:rPr>
        <w:lastRenderedPageBreak/>
        <w:t>چهارم.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 پذیرش هدیه از بیمار اگر در قضاوت و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خدمت‌رسان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ی پزشک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تأث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>ی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ر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 بگذارد جایز نیست. هدایا حتی اگر خللی در ارتباط طبیب با بیمار ایجاد نکند به دلیل شأن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حرفه‌ا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ی و پرهیز از مخاطرات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حرفه‌ا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ی و اخلاقی، نباید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گران‌ق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>ی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مت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 باشد، نباید تکرار شود و نیز نباید منجر به تبدیل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رابطه‌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ی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حرفه‌ا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ی به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رابطه‌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ی شخصی شود.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هم‌چن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>ی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ن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 پذیرفتن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هد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>ی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ه‌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ی نقدی همچون پول و سکه مغایر اخلاق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حرفه‌ا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>ی است. هنگام رد هدیه نیز باید کرامت بیمار را لحاظ کرد و نباید موجب رنجش او شد.</w:t>
      </w:r>
    </w:p>
    <w:p w:rsidR="004F7F58" w:rsidRPr="004F7F58" w:rsidRDefault="004F7F58" w:rsidP="007B6BC2">
      <w:pPr>
        <w:pStyle w:val="Heading2"/>
        <w:bidi/>
        <w:spacing w:before="0" w:line="360" w:lineRule="auto"/>
        <w:jc w:val="lowKashida"/>
        <w:rPr>
          <w:rFonts w:cs="B Yagut"/>
          <w:b w:val="0"/>
          <w:bCs w:val="0"/>
          <w:color w:val="auto"/>
          <w:sz w:val="24"/>
          <w:szCs w:val="24"/>
          <w:rtl/>
          <w:lang w:bidi="fa-IR"/>
        </w:rPr>
      </w:pPr>
      <w:r w:rsidRPr="004F7F58">
        <w:rPr>
          <w:rFonts w:cs="B Yagut" w:hint="cs"/>
          <w:color w:val="auto"/>
          <w:sz w:val="24"/>
          <w:szCs w:val="24"/>
          <w:rtl/>
          <w:lang w:bidi="fa-IR"/>
        </w:rPr>
        <w:t xml:space="preserve"> </w:t>
      </w:r>
      <w:r w:rsidRPr="004F7F58">
        <w:rPr>
          <w:rFonts w:cs="B Titr" w:hint="cs"/>
          <w:color w:val="auto"/>
          <w:sz w:val="24"/>
          <w:szCs w:val="24"/>
          <w:rtl/>
          <w:lang w:bidi="fa-IR"/>
        </w:rPr>
        <w:t>پنجم.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 پذیرش هدیه از صنعت همچون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شرکت‌ها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ی داروسازی و تجهیزاتی اگر در تجویز و سایر اقدامات درمانی و تشخیصی طبیب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تأث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>ی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ر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 بگذارد یا پزشک را مدیون شرکت یا کارخانه سازد مجاز نیست. هدایای صنعت تنها در صورتی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قابل‌قبول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 هستند که در جهت منافع بیماران باشد (همچون کتاب، گوشی پزشکی، خط کش، وزنه و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ثبت‌نام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 رایگان در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کنگره‌ها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). ارتباط پزشکان و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شرکت‌ها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ی صنعتی، دارویی و تجهیزات پزشکی نباید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به‌گونه‌ا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>ی باشد تا در صورت آشکار شدن</w:t>
      </w:r>
      <w:r>
        <w:rPr>
          <w:rFonts w:cs="B Yagut"/>
          <w:b w:val="0"/>
          <w:bCs w:val="0"/>
          <w:color w:val="auto"/>
          <w:sz w:val="24"/>
          <w:szCs w:val="24"/>
          <w:rtl/>
          <w:lang w:bidi="fa-IR"/>
        </w:rPr>
        <w:t xml:space="preserve"> 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>موجب شرمساری ایشان شود</w:t>
      </w:r>
    </w:p>
    <w:p w:rsidR="004F7F58" w:rsidRPr="004F7F58" w:rsidRDefault="004F7F58" w:rsidP="007B6BC2">
      <w:pPr>
        <w:pStyle w:val="Heading2"/>
        <w:bidi/>
        <w:spacing w:before="0" w:line="360" w:lineRule="auto"/>
        <w:jc w:val="lowKashida"/>
        <w:rPr>
          <w:rFonts w:cs="B Yagut"/>
          <w:b w:val="0"/>
          <w:bCs w:val="0"/>
          <w:color w:val="auto"/>
          <w:sz w:val="24"/>
          <w:szCs w:val="24"/>
          <w:lang w:bidi="fa-IR"/>
        </w:rPr>
      </w:pPr>
      <w:r w:rsidRPr="004F7F58">
        <w:rPr>
          <w:rFonts w:cs="B Titr" w:hint="cs"/>
          <w:color w:val="auto"/>
          <w:sz w:val="24"/>
          <w:szCs w:val="24"/>
          <w:rtl/>
          <w:lang w:bidi="fa-IR"/>
        </w:rPr>
        <w:t>ششم.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 نمایندگان علمی یا فروش صنایع نباید مستقیم با بیماران در تماس باشند. تماس با دانشجویان نیز از منظر اخلاقی جایز نیست. حضور این نمایندگان در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مح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>ی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ط‌ها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>ی درمانی و آموزشی تنها با نظارت مسئولان و رعایت ضوابط سازمان مجاز است.</w:t>
      </w:r>
    </w:p>
    <w:p w:rsidR="004F7F58" w:rsidRPr="004F7F58" w:rsidRDefault="004F7F58" w:rsidP="007B6BC2">
      <w:pPr>
        <w:pStyle w:val="Heading2"/>
        <w:bidi/>
        <w:spacing w:before="0" w:line="360" w:lineRule="auto"/>
        <w:jc w:val="lowKashida"/>
        <w:rPr>
          <w:rFonts w:cs="B Yagut"/>
          <w:b w:val="0"/>
          <w:bCs w:val="0"/>
          <w:color w:val="auto"/>
          <w:sz w:val="24"/>
          <w:szCs w:val="24"/>
          <w:rtl/>
          <w:lang w:bidi="fa-IR"/>
        </w:rPr>
      </w:pPr>
      <w:r w:rsidRPr="004F7F58">
        <w:rPr>
          <w:rFonts w:cs="B Titr" w:hint="cs"/>
          <w:color w:val="auto"/>
          <w:sz w:val="24"/>
          <w:szCs w:val="24"/>
          <w:rtl/>
          <w:lang w:bidi="fa-IR"/>
        </w:rPr>
        <w:t>هفتم.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 حمایت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شرکت‌ها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 و صنایع از سفرهای داخلی و خارجی پزشکان تنها در صورتی پذیرفته است که پزشکان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به‌عنوان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 سخنران، شرکت در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جلسه‌ا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ی علمی، ارزیابی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وس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>ی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له‌ا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>ی علمی برای خرید و ارتقای سطح علمی صنعت یا دانشگاه حضور یابند</w:t>
      </w:r>
      <w:r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>.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 انتخاب پزشکان برای سفر باید با مشورت انجمن تخصصی،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گروه‌ها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ی آموزشی و یا مدیران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بخش‌ها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ی بالینی یا مراکز تحقیقاتی صورت گیرد نه حامیان مالی. همچنین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تأم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>ی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ن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هز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>ی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نه‌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ی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خانواده‌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ی پزشکان برای همراهی در سفر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به‌ه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>ی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چ‌وجه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 پذیرفته نیست.</w:t>
      </w:r>
    </w:p>
    <w:p w:rsidR="004F7F58" w:rsidRPr="004F7F58" w:rsidRDefault="004F7F58" w:rsidP="007B6BC2">
      <w:pPr>
        <w:pStyle w:val="Heading2"/>
        <w:bidi/>
        <w:spacing w:before="0" w:line="360" w:lineRule="auto"/>
        <w:jc w:val="lowKashida"/>
        <w:rPr>
          <w:rFonts w:cs="B Yagut"/>
          <w:b w:val="0"/>
          <w:bCs w:val="0"/>
          <w:color w:val="auto"/>
          <w:sz w:val="24"/>
          <w:szCs w:val="24"/>
          <w:lang w:bidi="fa-IR"/>
        </w:rPr>
      </w:pPr>
      <w:r w:rsidRPr="004F7F58">
        <w:rPr>
          <w:rFonts w:cs="B Titr" w:hint="cs"/>
          <w:color w:val="auto"/>
          <w:sz w:val="24"/>
          <w:szCs w:val="24"/>
          <w:rtl/>
          <w:lang w:bidi="fa-IR"/>
        </w:rPr>
        <w:t>هشتم.</w:t>
      </w:r>
      <w:r>
        <w:rPr>
          <w:rFonts w:cs="B Yagut"/>
          <w:b w:val="0"/>
          <w:bCs w:val="0"/>
          <w:color w:val="auto"/>
          <w:sz w:val="24"/>
          <w:szCs w:val="24"/>
          <w:rtl/>
          <w:lang w:bidi="fa-IR"/>
        </w:rPr>
        <w:t xml:space="preserve"> </w:t>
      </w:r>
      <w:r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محتوا</w:t>
      </w:r>
      <w:r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>ی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 علمی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برنامه‌ها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ی آموزشی که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شرکت‌ها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 و صنایع برگزار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م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>ی‌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کنند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 نباید توسط خود </w:t>
      </w:r>
      <w:r w:rsidR="00C0295A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آن‌ها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 تهیه و ویرایش شود</w:t>
      </w:r>
      <w:r w:rsidR="00C0295A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>.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 سخنرانان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صرفاً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 باید ملاحظات علمی و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فا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>ی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ده‌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>ی محصول برای بیماران را بیان کنند.</w:t>
      </w:r>
    </w:p>
    <w:p w:rsidR="004F7F58" w:rsidRPr="004F7F58" w:rsidRDefault="004F7F58" w:rsidP="007B6BC2">
      <w:pPr>
        <w:pStyle w:val="Heading2"/>
        <w:bidi/>
        <w:spacing w:before="0" w:line="360" w:lineRule="auto"/>
        <w:jc w:val="lowKashida"/>
        <w:rPr>
          <w:rFonts w:cs="B Yagut"/>
          <w:b w:val="0"/>
          <w:bCs w:val="0"/>
          <w:color w:val="auto"/>
          <w:sz w:val="24"/>
          <w:szCs w:val="24"/>
          <w:rtl/>
          <w:lang w:bidi="fa-IR"/>
        </w:rPr>
      </w:pPr>
      <w:r w:rsidRPr="004F7F58">
        <w:rPr>
          <w:rFonts w:cs="B Titr" w:hint="cs"/>
          <w:color w:val="auto"/>
          <w:sz w:val="24"/>
          <w:szCs w:val="24"/>
          <w:rtl/>
          <w:lang w:bidi="fa-IR"/>
        </w:rPr>
        <w:t>نهم.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حما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>ی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ت‌ها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ی صنعت از دانشگاه چه در قالب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کمک‌هز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>ی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نه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 به دانشجویان و چه در مواردی همچون ساخت و تجهیز، باید متمرکز باشد و به شخصیت حقوقی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دانشگاه</w:t>
      </w:r>
      <w:r w:rsidRPr="004F7F58">
        <w:rPr>
          <w:rFonts w:cs="B Yagut"/>
          <w:b w:val="0"/>
          <w:bCs w:val="0"/>
          <w:color w:val="auto"/>
          <w:sz w:val="24"/>
          <w:szCs w:val="24"/>
          <w:rtl/>
          <w:lang w:bidi="fa-IR"/>
        </w:rPr>
        <w:t xml:space="preserve">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دانشکده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 یا بیمارستان ارائه شود. کمک به افراد یا اشخاص به دلیل مخاطرات اخلاقی و موقعیت تعارض منافع جایز</w:t>
      </w:r>
      <w:r w:rsidR="00C0295A">
        <w:rPr>
          <w:rFonts w:cs="B Yagut"/>
          <w:b w:val="0"/>
          <w:bCs w:val="0"/>
          <w:color w:val="auto"/>
          <w:sz w:val="24"/>
          <w:szCs w:val="24"/>
          <w:rtl/>
          <w:lang w:bidi="fa-IR"/>
        </w:rPr>
        <w:t xml:space="preserve"> 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>نیست.</w:t>
      </w:r>
    </w:p>
    <w:p w:rsidR="004F7F58" w:rsidRPr="004F7F58" w:rsidRDefault="004F7F58" w:rsidP="007B6BC2">
      <w:pPr>
        <w:pStyle w:val="Heading2"/>
        <w:bidi/>
        <w:spacing w:before="0" w:line="360" w:lineRule="auto"/>
        <w:jc w:val="lowKashida"/>
        <w:rPr>
          <w:rFonts w:ascii="IranNastaliq" w:hAnsi="IranNastaliq" w:cs="B Yagut"/>
          <w:b w:val="0"/>
          <w:bCs w:val="0"/>
          <w:color w:val="auto"/>
          <w:sz w:val="32"/>
          <w:szCs w:val="32"/>
          <w:rtl/>
        </w:rPr>
      </w:pPr>
      <w:r w:rsidRPr="004F7F58">
        <w:rPr>
          <w:rFonts w:cs="B Titr" w:hint="cs"/>
          <w:color w:val="auto"/>
          <w:sz w:val="24"/>
          <w:szCs w:val="24"/>
          <w:rtl/>
          <w:lang w:bidi="fa-IR"/>
        </w:rPr>
        <w:lastRenderedPageBreak/>
        <w:t>دهم.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 برای مدیریت تعارض منافع در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پژوهش‌ها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ی پزشکی،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طرح‌ها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 باید به تصویب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کم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>ی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ته‌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ی اخلاق برسد. پژوهشگران نباید در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تصم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>ی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م‌گ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>ی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ر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ی و تصویب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پژوهش‌ها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یی که در آن مشارکت دارند، دخیل باشند. پرداخت هزینه به پزشک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صرفاً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 برای ارجاع و معرفی آزمودنی مجاز نیست. همچنین ارتباط مالی پژوهشگر و صنایع نباید تحت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تأث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>ی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ر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 و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درگرو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 xml:space="preserve"> 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نت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>ی</w:t>
      </w:r>
      <w:r w:rsidRPr="004F7F58">
        <w:rPr>
          <w:rFonts w:cs="B Yagut" w:hint="eastAsia"/>
          <w:b w:val="0"/>
          <w:bCs w:val="0"/>
          <w:color w:val="auto"/>
          <w:sz w:val="24"/>
          <w:szCs w:val="24"/>
          <w:rtl/>
          <w:lang w:bidi="fa-IR"/>
        </w:rPr>
        <w:t>جه‌</w:t>
      </w:r>
      <w:r w:rsidRPr="004F7F58">
        <w:rPr>
          <w:rFonts w:cs="B Yagut" w:hint="cs"/>
          <w:b w:val="0"/>
          <w:bCs w:val="0"/>
          <w:color w:val="auto"/>
          <w:sz w:val="24"/>
          <w:szCs w:val="24"/>
          <w:rtl/>
          <w:lang w:bidi="fa-IR"/>
        </w:rPr>
        <w:t>ی پژوهش باشد.</w:t>
      </w:r>
    </w:p>
    <w:p w:rsidR="005852CA" w:rsidRDefault="005852CA" w:rsidP="007B6BC2">
      <w:pPr>
        <w:spacing w:line="360" w:lineRule="auto"/>
      </w:pPr>
    </w:p>
    <w:sectPr w:rsidR="005852CA" w:rsidSect="007B6BC2">
      <w:pgSz w:w="12240" w:h="15840"/>
      <w:pgMar w:top="1100" w:right="1191" w:bottom="567" w:left="1191" w:header="720" w:footer="720" w:gutter="0"/>
      <w:pgBorders w:offsetFrom="page">
        <w:top w:val="cornerTriangles" w:sz="14" w:space="24" w:color="auto"/>
        <w:left w:val="cornerTriangles" w:sz="14" w:space="24" w:color="auto"/>
        <w:bottom w:val="cornerTriangles" w:sz="14" w:space="24" w:color="auto"/>
        <w:right w:val="cornerTriangles" w:sz="1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448" w:rsidRDefault="00D57448" w:rsidP="007B6BC2">
      <w:pPr>
        <w:spacing w:after="0" w:line="240" w:lineRule="auto"/>
      </w:pPr>
      <w:r>
        <w:separator/>
      </w:r>
    </w:p>
  </w:endnote>
  <w:endnote w:type="continuationSeparator" w:id="1">
    <w:p w:rsidR="00D57448" w:rsidRDefault="00D57448" w:rsidP="007B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448" w:rsidRDefault="00D57448" w:rsidP="007B6BC2">
      <w:pPr>
        <w:spacing w:after="0" w:line="240" w:lineRule="auto"/>
      </w:pPr>
      <w:r>
        <w:separator/>
      </w:r>
    </w:p>
  </w:footnote>
  <w:footnote w:type="continuationSeparator" w:id="1">
    <w:p w:rsidR="00D57448" w:rsidRDefault="00D57448" w:rsidP="007B6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F58"/>
    <w:rsid w:val="0015431B"/>
    <w:rsid w:val="001E6906"/>
    <w:rsid w:val="00421B79"/>
    <w:rsid w:val="004F7F58"/>
    <w:rsid w:val="005852CA"/>
    <w:rsid w:val="006542E9"/>
    <w:rsid w:val="007B6BC2"/>
    <w:rsid w:val="008E0F59"/>
    <w:rsid w:val="00C0295A"/>
    <w:rsid w:val="00D57448"/>
    <w:rsid w:val="00E7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2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7F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7F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7B6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6BC2"/>
  </w:style>
  <w:style w:type="paragraph" w:styleId="Footer">
    <w:name w:val="footer"/>
    <w:basedOn w:val="Normal"/>
    <w:link w:val="FooterChar"/>
    <w:uiPriority w:val="99"/>
    <w:semiHidden/>
    <w:unhideWhenUsed/>
    <w:rsid w:val="007B6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6B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2016-08-28T04:47:00Z</cp:lastPrinted>
  <dcterms:created xsi:type="dcterms:W3CDTF">2016-09-18T08:37:00Z</dcterms:created>
  <dcterms:modified xsi:type="dcterms:W3CDTF">2016-09-18T08:37:00Z</dcterms:modified>
</cp:coreProperties>
</file>